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82D6" w14:textId="22C537A9" w:rsidR="006267DB" w:rsidRDefault="006267DB" w:rsidP="00C567D9">
      <w:pPr>
        <w:shd w:val="clear" w:color="auto" w:fill="FFFFFF"/>
        <w:tabs>
          <w:tab w:val="right" w:pos="11520"/>
        </w:tabs>
        <w:spacing w:before="300" w:after="150" w:line="240" w:lineRule="auto"/>
        <w:ind w:right="1583"/>
        <w:outlineLvl w:val="0"/>
        <w:rPr>
          <w:rFonts w:ascii="Helvetica" w:eastAsia="Times New Roman" w:hAnsi="Helvetica" w:cs="Times New Roman"/>
          <w:color w:val="333333"/>
          <w:kern w:val="36"/>
          <w:sz w:val="24"/>
          <w:szCs w:val="24"/>
        </w:rPr>
      </w:pPr>
      <w:r w:rsidRPr="006267DB">
        <w:rPr>
          <w:rFonts w:ascii="Helvetica" w:eastAsia="Times New Roman" w:hAnsi="Helvetica" w:cs="Times New Roman"/>
          <w:color w:val="333333"/>
          <w:kern w:val="36"/>
          <w:sz w:val="24"/>
          <w:szCs w:val="24"/>
        </w:rPr>
        <w:t>Employee Handbook</w:t>
      </w:r>
      <w:r>
        <w:rPr>
          <w:rFonts w:ascii="Helvetica" w:eastAsia="Times New Roman" w:hAnsi="Helvetica" w:cs="Times New Roman"/>
          <w:color w:val="333333"/>
          <w:kern w:val="36"/>
          <w:sz w:val="24"/>
          <w:szCs w:val="24"/>
        </w:rPr>
        <w:tab/>
      </w:r>
      <w:r w:rsidRPr="006267DB">
        <w:rPr>
          <w:rFonts w:ascii="Helvetica" w:eastAsia="Times New Roman" w:hAnsi="Helvetica" w:cs="Times New Roman"/>
          <w:color w:val="333333"/>
          <w:kern w:val="36"/>
          <w:sz w:val="24"/>
          <w:szCs w:val="24"/>
        </w:rPr>
        <w:t>10.</w:t>
      </w:r>
      <w:proofErr w:type="gramStart"/>
      <w:r w:rsidRPr="006267DB">
        <w:rPr>
          <w:rFonts w:ascii="Helvetica" w:eastAsia="Times New Roman" w:hAnsi="Helvetica" w:cs="Times New Roman"/>
          <w:color w:val="333333"/>
          <w:kern w:val="36"/>
          <w:sz w:val="24"/>
          <w:szCs w:val="24"/>
        </w:rPr>
        <w:t>4  Termination</w:t>
      </w:r>
      <w:proofErr w:type="gramEnd"/>
      <w:r w:rsidRPr="006267DB">
        <w:rPr>
          <w:rFonts w:ascii="Helvetica" w:eastAsia="Times New Roman" w:hAnsi="Helvetica" w:cs="Times New Roman"/>
          <w:color w:val="333333"/>
          <w:kern w:val="36"/>
          <w:sz w:val="24"/>
          <w:szCs w:val="24"/>
        </w:rPr>
        <w:t xml:space="preserve"> of Employment by the University</w:t>
      </w:r>
    </w:p>
    <w:p w14:paraId="02F50DDD" w14:textId="77777777" w:rsidR="006267DB" w:rsidRPr="006267DB" w:rsidRDefault="006267DB" w:rsidP="00C567D9">
      <w:pPr>
        <w:shd w:val="clear" w:color="auto" w:fill="FFFFFF"/>
        <w:tabs>
          <w:tab w:val="right" w:pos="11520"/>
        </w:tabs>
        <w:spacing w:before="300" w:after="150" w:line="240" w:lineRule="auto"/>
        <w:ind w:right="1583"/>
        <w:outlineLvl w:val="0"/>
        <w:rPr>
          <w:rFonts w:ascii="Helvetica" w:eastAsia="Times New Roman" w:hAnsi="Helvetica" w:cs="Times New Roman"/>
          <w:color w:val="5A5A5A"/>
          <w:sz w:val="24"/>
          <w:szCs w:val="24"/>
        </w:rPr>
      </w:pPr>
    </w:p>
    <w:p w14:paraId="49720D3B" w14:textId="77777777" w:rsidR="006267DB" w:rsidRPr="006267DB" w:rsidRDefault="006267DB" w:rsidP="00C567D9">
      <w:pPr>
        <w:shd w:val="clear" w:color="auto" w:fill="FFFFFF"/>
        <w:spacing w:after="150" w:line="240" w:lineRule="auto"/>
        <w:ind w:right="1583"/>
        <w:rPr>
          <w:rFonts w:ascii="Helvetica" w:eastAsia="Times New Roman" w:hAnsi="Helvetica" w:cs="Times New Roman"/>
          <w:color w:val="5A5A5A"/>
          <w:sz w:val="24"/>
          <w:szCs w:val="24"/>
        </w:rPr>
      </w:pPr>
      <w:r w:rsidRPr="006267DB">
        <w:rPr>
          <w:rFonts w:ascii="Helvetica" w:eastAsia="Times New Roman" w:hAnsi="Helvetica" w:cs="Times New Roman"/>
          <w:color w:val="5A5A5A"/>
          <w:sz w:val="24"/>
          <w:szCs w:val="24"/>
        </w:rPr>
        <w:t>(</w:t>
      </w:r>
      <w:hyperlink r:id="rId5" w:history="1">
        <w:r w:rsidRPr="006267DB">
          <w:rPr>
            <w:rFonts w:ascii="Helvetica" w:eastAsia="Times New Roman" w:hAnsi="Helvetica" w:cs="Times New Roman"/>
            <w:color w:val="AA0000"/>
            <w:sz w:val="24"/>
            <w:szCs w:val="24"/>
          </w:rPr>
          <w:t>Board Policy 405.4</w:t>
        </w:r>
      </w:hyperlink>
      <w:r w:rsidRPr="006267DB">
        <w:rPr>
          <w:rFonts w:ascii="Helvetica" w:eastAsia="Times New Roman" w:hAnsi="Helvetica" w:cs="Times New Roman"/>
          <w:color w:val="5A5A5A"/>
          <w:sz w:val="24"/>
          <w:szCs w:val="24"/>
        </w:rPr>
        <w:t>)</w:t>
      </w:r>
    </w:p>
    <w:p w14:paraId="14B56B5B" w14:textId="77777777" w:rsidR="00C567D9" w:rsidRDefault="00C567D9" w:rsidP="00C567D9">
      <w:pPr>
        <w:pStyle w:val="default"/>
        <w:ind w:right="1583"/>
      </w:pPr>
      <w:r>
        <w:rPr>
          <w:sz w:val="23"/>
          <w:szCs w:val="23"/>
        </w:rPr>
        <w:t xml:space="preserve">All classified and non-classified staff employees of the University, whether full-time or part-time, who are appointed or hold regular positions, are “at-will” employees and may have their employment terminated by the University for convenience at any time or may be dismissed immediately for cause in accordance with </w:t>
      </w:r>
      <w:proofErr w:type="gramStart"/>
      <w:r>
        <w:rPr>
          <w:sz w:val="23"/>
          <w:szCs w:val="23"/>
        </w:rPr>
        <w:t>University</w:t>
      </w:r>
      <w:proofErr w:type="gramEnd"/>
      <w:r>
        <w:rPr>
          <w:sz w:val="23"/>
          <w:szCs w:val="23"/>
        </w:rPr>
        <w:t xml:space="preserve"> procedures. Although a period of notice is not required, any such period furnished at the discretion of the University should be determined by the employing unit in consultation with Human Resources </w:t>
      </w:r>
      <w:proofErr w:type="gramStart"/>
      <w:r>
        <w:rPr>
          <w:sz w:val="23"/>
          <w:szCs w:val="23"/>
        </w:rPr>
        <w:t>and,</w:t>
      </w:r>
      <w:proofErr w:type="gramEnd"/>
      <w:r>
        <w:rPr>
          <w:sz w:val="23"/>
          <w:szCs w:val="23"/>
        </w:rPr>
        <w:t xml:space="preserve"> as appropriate, General Counsel, the Office of Equal Opportunity and Compliance, and/or other University units. </w:t>
      </w:r>
    </w:p>
    <w:p w14:paraId="0EE44952" w14:textId="77777777" w:rsidR="00C567D9" w:rsidRDefault="00C567D9" w:rsidP="00C567D9">
      <w:pPr>
        <w:pStyle w:val="default"/>
        <w:ind w:right="1583"/>
      </w:pPr>
      <w:r>
        <w:rPr>
          <w:sz w:val="23"/>
          <w:szCs w:val="23"/>
        </w:rPr>
        <w:t> </w:t>
      </w:r>
    </w:p>
    <w:p w14:paraId="66DD784C" w14:textId="77777777" w:rsidR="00C567D9" w:rsidRDefault="00C567D9" w:rsidP="00C567D9">
      <w:pPr>
        <w:pStyle w:val="default"/>
        <w:ind w:right="1583"/>
      </w:pPr>
      <w:r>
        <w:rPr>
          <w:sz w:val="23"/>
          <w:szCs w:val="23"/>
        </w:rPr>
        <w:t xml:space="preserve">All other staff employees (for example, temporary and hourly employees who do not hold an appointed or regular position) and student workers (excluding Graduate Assistants, who are addressed in </w:t>
      </w:r>
      <w:hyperlink r:id="rId6" w:history="1">
        <w:r>
          <w:rPr>
            <w:rStyle w:val="Hyperlink"/>
            <w:sz w:val="23"/>
            <w:szCs w:val="23"/>
          </w:rPr>
          <w:t>Board of Trustees Policy 500.1</w:t>
        </w:r>
      </w:hyperlink>
      <w:r>
        <w:rPr>
          <w:color w:val="0462C1"/>
          <w:sz w:val="23"/>
          <w:szCs w:val="23"/>
        </w:rPr>
        <w:t xml:space="preserve">) </w:t>
      </w:r>
      <w:r>
        <w:rPr>
          <w:sz w:val="23"/>
          <w:szCs w:val="23"/>
        </w:rPr>
        <w:t xml:space="preserve">may be terminated at any time without advance written notice. While advance written notice is not required, termination should be communicated to the employee and documented. </w:t>
      </w:r>
    </w:p>
    <w:p w14:paraId="595CED93" w14:textId="1C99B152" w:rsidR="00C567D9" w:rsidRDefault="00C567D9" w:rsidP="00C567D9">
      <w:pPr>
        <w:pStyle w:val="default"/>
        <w:ind w:right="1583"/>
      </w:pPr>
      <w:r>
        <w:rPr>
          <w:sz w:val="23"/>
          <w:szCs w:val="23"/>
        </w:rPr>
        <w:t xml:space="preserve">Please refer to the following Staff Handbook policies for additional information concerning termination of employment: </w:t>
      </w:r>
      <w:r>
        <w:br/>
      </w:r>
      <w:hyperlink r:id="rId7" w:history="1">
        <w:r>
          <w:rPr>
            <w:rStyle w:val="Hyperlink"/>
          </w:rPr>
          <w:t>4.3 Performance Reviews</w:t>
        </w:r>
      </w:hyperlink>
      <w:r>
        <w:br/>
      </w:r>
      <w:hyperlink r:id="rId8" w:history="1">
        <w:r>
          <w:rPr>
            <w:rStyle w:val="Hyperlink"/>
          </w:rPr>
          <w:t>5.4 Absence from Work</w:t>
        </w:r>
      </w:hyperlink>
    </w:p>
    <w:p w14:paraId="5D1304CE" w14:textId="77777777" w:rsidR="00C567D9" w:rsidRDefault="00C567D9" w:rsidP="00C567D9">
      <w:pPr>
        <w:pStyle w:val="default"/>
        <w:ind w:right="1583"/>
      </w:pPr>
      <w:r>
        <w:t> </w:t>
      </w:r>
    </w:p>
    <w:p w14:paraId="3DAC3BF6" w14:textId="77777777" w:rsidR="00C567D9" w:rsidRDefault="00C567D9" w:rsidP="00C567D9">
      <w:pPr>
        <w:pStyle w:val="default"/>
        <w:ind w:right="1583"/>
      </w:pPr>
      <w:r>
        <w:rPr>
          <w:sz w:val="23"/>
          <w:szCs w:val="23"/>
        </w:rPr>
        <w:t xml:space="preserve">Tuesday, December 11, </w:t>
      </w:r>
      <w:proofErr w:type="gramStart"/>
      <w:r>
        <w:rPr>
          <w:sz w:val="23"/>
          <w:szCs w:val="23"/>
        </w:rPr>
        <w:t>2018</w:t>
      </w:r>
      <w:proofErr w:type="gramEnd"/>
      <w:r>
        <w:rPr>
          <w:sz w:val="23"/>
          <w:szCs w:val="23"/>
        </w:rPr>
        <w:t xml:space="preserve"> 1:06 PM</w:t>
      </w:r>
    </w:p>
    <w:p w14:paraId="13852024" w14:textId="2BC73A83" w:rsidR="00C567D9" w:rsidRDefault="00C567D9" w:rsidP="00C567D9">
      <w:pPr>
        <w:pStyle w:val="NormalWeb"/>
        <w:ind w:right="1583"/>
      </w:pPr>
      <w:hyperlink r:id="rId9" w:history="1">
        <w:r>
          <w:rPr>
            <w:rStyle w:val="Hyperlink"/>
          </w:rPr>
          <w:t xml:space="preserve">Monday, August 29, </w:t>
        </w:r>
        <w:proofErr w:type="gramStart"/>
        <w:r>
          <w:rPr>
            <w:rStyle w:val="Hyperlink"/>
          </w:rPr>
          <w:t>2016</w:t>
        </w:r>
        <w:proofErr w:type="gramEnd"/>
        <w:r>
          <w:rPr>
            <w:rStyle w:val="Hyperlink"/>
          </w:rPr>
          <w:t xml:space="preserve"> 10:26 AM</w:t>
        </w:r>
      </w:hyperlink>
    </w:p>
    <w:p w14:paraId="14003986" w14:textId="77777777" w:rsidR="00DB1D4A" w:rsidRDefault="00DB1D4A" w:rsidP="00C567D9">
      <w:pPr>
        <w:ind w:right="1583"/>
      </w:pPr>
    </w:p>
    <w:sectPr w:rsidR="00DB1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EC3"/>
    <w:multiLevelType w:val="multilevel"/>
    <w:tmpl w:val="213A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07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DB"/>
    <w:rsid w:val="006267DB"/>
    <w:rsid w:val="00C567D9"/>
    <w:rsid w:val="00DB1D4A"/>
    <w:rsid w:val="00E6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1701"/>
  <w15:chartTrackingRefBased/>
  <w15:docId w15:val="{D5AC14B6-0DBB-4747-A709-2830BEF4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5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67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izmo\hmrs\groups\Website_work\Employee%20Handbook%20Archieves\10\%7b%7bf:26856332%7d%7d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gizmo\hmrs\groups\Website_work\Employee%20Handbook%20Archieves\10\%7b%7bf:26856498%7d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asys.edu/wp-content/uploads/sites/16/2018/04/500.1-Graduate-Assistants-Termination-of-Appointment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asys.edu/wp-content/uploads/sites/16/2018/04/405.4-Termination-of-Employment-was-Employment-Period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gizmo\hmrs\groups\Website_work\Employee%20Handbook%20Archieves\10\%7b%7bf:26856462%7d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Ann Wells</dc:creator>
  <cp:keywords/>
  <dc:description/>
  <cp:lastModifiedBy>Alesia Wells</cp:lastModifiedBy>
  <cp:revision>2</cp:revision>
  <dcterms:created xsi:type="dcterms:W3CDTF">2023-02-20T21:24:00Z</dcterms:created>
  <dcterms:modified xsi:type="dcterms:W3CDTF">2023-02-20T21:24:00Z</dcterms:modified>
</cp:coreProperties>
</file>